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2EA" w14:textId="3D2E3E6F" w:rsidR="008B47F9" w:rsidRPr="008B47F9" w:rsidRDefault="008B47F9" w:rsidP="008B47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47F9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Тема ПЗ:</w:t>
      </w:r>
      <w:r w:rsidRPr="008B4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47F9">
        <w:rPr>
          <w:rFonts w:ascii="Times New Roman" w:hAnsi="Times New Roman" w:cs="Times New Roman"/>
          <w:b/>
          <w:bCs/>
          <w:sz w:val="28"/>
          <w:szCs w:val="28"/>
        </w:rPr>
        <w:t xml:space="preserve">Промграфика и упаковка как образцы прикладного искусства. Эволюция дизайна XX века. Средовой дизайн: плакат, афиша, рекламный щит, штендер, баннер, брандмауэр, тэйблтент, указатели, вывески, световой короб. </w:t>
      </w:r>
    </w:p>
    <w:p w14:paraId="5A2AEA2C" w14:textId="1C6A400B" w:rsidR="00C41B9E" w:rsidRDefault="008B47F9" w:rsidP="008B47F9">
      <w:pPr>
        <w:rPr>
          <w:rFonts w:ascii="Times New Roman" w:hAnsi="Times New Roman" w:cs="Times New Roman"/>
          <w:sz w:val="28"/>
          <w:szCs w:val="28"/>
        </w:rPr>
      </w:pPr>
      <w:r w:rsidRPr="008B47F9">
        <w:rPr>
          <w:rFonts w:ascii="Times New Roman" w:hAnsi="Times New Roman" w:cs="Times New Roman"/>
          <w:sz w:val="28"/>
          <w:szCs w:val="28"/>
        </w:rPr>
        <w:t>Материалы: Формат А3, на выбор</w:t>
      </w:r>
    </w:p>
    <w:p w14:paraId="3327A6E3" w14:textId="7105FEA2" w:rsidR="00952DF3" w:rsidRDefault="00952DF3" w:rsidP="008B47F9">
      <w:pPr>
        <w:rPr>
          <w:rFonts w:ascii="Times New Roman" w:hAnsi="Times New Roman" w:cs="Times New Roman"/>
          <w:sz w:val="28"/>
          <w:szCs w:val="28"/>
        </w:rPr>
      </w:pPr>
      <w:r w:rsidRPr="00952DF3">
        <w:rPr>
          <w:rFonts w:ascii="Times New Roman" w:hAnsi="Times New Roman" w:cs="Times New Roman"/>
          <w:sz w:val="28"/>
          <w:szCs w:val="28"/>
        </w:rPr>
        <w:t>Афиша — объявление о спектакле, концерте, лекции, фильме и т. п., вывешиваемое на видном месте.</w:t>
      </w:r>
    </w:p>
    <w:p w14:paraId="0E068E8E" w14:textId="16E3492E" w:rsidR="00952DF3" w:rsidRPr="00502F89" w:rsidRDefault="00952DF3" w:rsidP="008B47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2DF3">
        <w:rPr>
          <w:noProof/>
        </w:rPr>
        <w:drawing>
          <wp:inline distT="0" distB="0" distL="0" distR="0" wp14:anchorId="1C033B2D" wp14:editId="4301E984">
            <wp:extent cx="3457575" cy="4876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3298" w14:textId="72165B92" w:rsidR="00952DF3" w:rsidRDefault="00952DF3" w:rsidP="008B47F9">
      <w:pPr>
        <w:rPr>
          <w:rFonts w:ascii="Times New Roman" w:hAnsi="Times New Roman" w:cs="Times New Roman"/>
          <w:sz w:val="28"/>
          <w:szCs w:val="28"/>
        </w:rPr>
      </w:pPr>
      <w:r w:rsidRPr="00952DF3">
        <w:rPr>
          <w:rFonts w:ascii="Times New Roman" w:hAnsi="Times New Roman" w:cs="Times New Roman"/>
          <w:sz w:val="28"/>
          <w:szCs w:val="28"/>
        </w:rPr>
        <w:t xml:space="preserve">Плака́т (фр. рlасаrd — «приклеенное», от plaquier — «приклеивать»), также пóстер (от англ. poster) — разновидность прикладной печатной графики, наборно-шрифтовое или художественно-иллюстративное листовое крупноформатное печатное тиражное издание, содержащее в наглядно-компактном виде информацию рекламного, агитационно-пропагандистского, инструктивно-методического, учебного и другого характера. Лист плаката содержит броское изображение и броский заголовок или призыв. В современном дизайне плакат воспринимается как «сведённое в чёткую визуальную формулу сообщение, предназначенное современнику для </w:t>
      </w:r>
      <w:r w:rsidRPr="00952DF3">
        <w:rPr>
          <w:rFonts w:ascii="Times New Roman" w:hAnsi="Times New Roman" w:cs="Times New Roman"/>
          <w:sz w:val="28"/>
          <w:szCs w:val="28"/>
        </w:rPr>
        <w:lastRenderedPageBreak/>
        <w:t>выводов и конкретных действий». Данная формула отражает определённый уровень графического дизайна и информирует о предмете коммуникации.</w:t>
      </w:r>
    </w:p>
    <w:p w14:paraId="5EC3EDFE" w14:textId="40730018" w:rsidR="00952DF3" w:rsidRPr="00AA7F0D" w:rsidRDefault="00952DF3" w:rsidP="008B47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2DF3">
        <w:rPr>
          <w:noProof/>
        </w:rPr>
        <w:drawing>
          <wp:inline distT="0" distB="0" distL="0" distR="0" wp14:anchorId="73328F84" wp14:editId="6C78CAB9">
            <wp:extent cx="3064358" cy="45161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4890" cy="453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F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AAADF9" w14:textId="77777777" w:rsidR="00952DF3" w:rsidRDefault="008B47F9" w:rsidP="008B47F9">
      <w:pPr>
        <w:rPr>
          <w:noProof/>
        </w:rPr>
      </w:pPr>
      <w:r w:rsidRPr="008B47F9">
        <w:rPr>
          <w:rFonts w:ascii="Times New Roman" w:hAnsi="Times New Roman" w:cs="Times New Roman"/>
          <w:sz w:val="28"/>
          <w:szCs w:val="28"/>
        </w:rPr>
        <w:t>Баннер (англ. banner — флаг, транспарант) — графическое изображение рекламного характера. Баннеры размещают для привлечения клиентов, для информирования или для создания позитивного имиджа.</w:t>
      </w:r>
      <w:r w:rsidRPr="008B47F9">
        <w:rPr>
          <w:noProof/>
        </w:rPr>
        <w:t xml:space="preserve"> </w:t>
      </w:r>
    </w:p>
    <w:p w14:paraId="45DB1132" w14:textId="2D17AFDB" w:rsidR="00952DF3" w:rsidRPr="00952DF3" w:rsidRDefault="00952DF3" w:rsidP="008B47F9">
      <w:pPr>
        <w:rPr>
          <w:rFonts w:ascii="Times New Roman" w:hAnsi="Times New Roman" w:cs="Times New Roman"/>
          <w:noProof/>
          <w:sz w:val="28"/>
          <w:szCs w:val="28"/>
        </w:rPr>
      </w:pPr>
      <w:r w:rsidRPr="00952DF3">
        <w:rPr>
          <w:rFonts w:ascii="Times New Roman" w:hAnsi="Times New Roman" w:cs="Times New Roman"/>
          <w:noProof/>
          <w:sz w:val="28"/>
          <w:szCs w:val="28"/>
        </w:rPr>
        <w:t>Рекламный щит (также билбо́рд от англ. billboard) — щит большого размера для размещения наружной рекламы, устанавливаемый вдоль трасс, улиц и в других .</w:t>
      </w:r>
    </w:p>
    <w:p w14:paraId="30C97A04" w14:textId="0FE10074" w:rsidR="008B47F9" w:rsidRPr="008B47F9" w:rsidRDefault="008B47F9" w:rsidP="008B47F9">
      <w:pPr>
        <w:rPr>
          <w:rFonts w:ascii="Times New Roman" w:hAnsi="Times New Roman" w:cs="Times New Roman"/>
          <w:sz w:val="28"/>
          <w:szCs w:val="28"/>
        </w:rPr>
      </w:pPr>
      <w:r w:rsidRPr="008B47F9">
        <w:rPr>
          <w:noProof/>
        </w:rPr>
        <w:lastRenderedPageBreak/>
        <w:drawing>
          <wp:inline distT="0" distB="0" distL="0" distR="0" wp14:anchorId="2209E377" wp14:editId="0491B395">
            <wp:extent cx="4943475" cy="34678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6429" cy="348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E713E" w14:textId="3F6C4640" w:rsidR="008B47F9" w:rsidRDefault="008B47F9" w:rsidP="008B47F9">
      <w:pPr>
        <w:rPr>
          <w:rFonts w:ascii="Times New Roman" w:hAnsi="Times New Roman" w:cs="Times New Roman"/>
          <w:sz w:val="28"/>
          <w:szCs w:val="28"/>
        </w:rPr>
      </w:pPr>
      <w:r w:rsidRPr="008B47F9">
        <w:rPr>
          <w:rFonts w:ascii="Times New Roman" w:hAnsi="Times New Roman" w:cs="Times New Roman"/>
          <w:sz w:val="28"/>
          <w:szCs w:val="28"/>
        </w:rPr>
        <w:t>Штендер – это устойчивая двусторонняя конструкция различного размера, имеющая четыре опорных ножки. Его используют для фиксации пластиковых или металлических листов, на которые помещена информация о товарах или услугах, а также контакты.</w:t>
      </w:r>
    </w:p>
    <w:p w14:paraId="37CFDD37" w14:textId="77777777" w:rsidR="008B47F9" w:rsidRDefault="008B47F9" w:rsidP="008B47F9">
      <w:pPr>
        <w:rPr>
          <w:rFonts w:ascii="Times New Roman" w:hAnsi="Times New Roman" w:cs="Times New Roman"/>
          <w:sz w:val="28"/>
          <w:szCs w:val="28"/>
        </w:rPr>
      </w:pPr>
    </w:p>
    <w:p w14:paraId="4282EFFF" w14:textId="624C5E90" w:rsidR="008B47F9" w:rsidRPr="008B47F9" w:rsidRDefault="008B47F9" w:rsidP="008B47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B47F9">
        <w:rPr>
          <w:noProof/>
        </w:rPr>
        <w:lastRenderedPageBreak/>
        <w:drawing>
          <wp:inline distT="0" distB="0" distL="0" distR="0" wp14:anchorId="6AD2A91F" wp14:editId="74550F2E">
            <wp:extent cx="2895202" cy="448437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9586" cy="45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47F9">
        <w:rPr>
          <w:noProof/>
        </w:rPr>
        <w:drawing>
          <wp:inline distT="0" distB="0" distL="0" distR="0" wp14:anchorId="26D4A72F" wp14:editId="4B595D50">
            <wp:extent cx="2971800" cy="455235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728" t="1834" r="22789"/>
                    <a:stretch/>
                  </pic:blipFill>
                  <pic:spPr bwMode="auto">
                    <a:xfrm>
                      <a:off x="0" y="0"/>
                      <a:ext cx="2982094" cy="4568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4B2F8" w14:textId="08C4533E" w:rsidR="008B47F9" w:rsidRPr="00B22512" w:rsidRDefault="00B22512" w:rsidP="008B47F9">
      <w:pPr>
        <w:rPr>
          <w:rFonts w:ascii="Times New Roman" w:hAnsi="Times New Roman" w:cs="Times New Roman"/>
          <w:sz w:val="28"/>
          <w:szCs w:val="28"/>
        </w:rPr>
      </w:pPr>
      <w:r w:rsidRPr="00B22512">
        <w:rPr>
          <w:rFonts w:ascii="Times New Roman" w:hAnsi="Times New Roman" w:cs="Times New Roman"/>
          <w:sz w:val="28"/>
          <w:szCs w:val="28"/>
        </w:rPr>
        <w:t xml:space="preserve">Брандмауэр — это самый большой носитель </w:t>
      </w:r>
      <w:hyperlink r:id="rId10" w:history="1">
        <w:r w:rsidRPr="00B22512">
          <w:rPr>
            <w:rStyle w:val="a3"/>
            <w:rFonts w:ascii="Times New Roman" w:hAnsi="Times New Roman" w:cs="Times New Roman"/>
            <w:sz w:val="28"/>
            <w:szCs w:val="28"/>
          </w:rPr>
          <w:t>наружной рекламы</w:t>
        </w:r>
      </w:hyperlink>
      <w:r w:rsidRPr="00B22512">
        <w:rPr>
          <w:rFonts w:ascii="Times New Roman" w:hAnsi="Times New Roman" w:cs="Times New Roman"/>
          <w:sz w:val="28"/>
          <w:szCs w:val="28"/>
        </w:rPr>
        <w:t>, который представляет собой щит или полотно, расположенное на стене здания.</w:t>
      </w:r>
    </w:p>
    <w:p w14:paraId="31AB0C21" w14:textId="77777777" w:rsidR="00B22512" w:rsidRPr="00B22512" w:rsidRDefault="00B22512" w:rsidP="00B22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Основная цель брандмауэра заключается в привлечении внимания </w:t>
      </w:r>
      <w:hyperlink r:id="rId11" w:history="1">
        <w:r w:rsidRPr="00B225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целевой аудитории</w:t>
        </w:r>
      </w:hyperlink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. Этот вид наружной рекламы отлично подходит для долгосрочных кампаний длительностью от шести месяцев и до нескольких лет. Ознакомьтесь с основными задачами, которые ставят перед брандмауэром:</w:t>
      </w:r>
    </w:p>
    <w:p w14:paraId="09FD1D6A" w14:textId="77777777" w:rsidR="00B22512" w:rsidRPr="00B22512" w:rsidRDefault="00B22512" w:rsidP="00B225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улучшение </w:t>
      </w:r>
      <w:hyperlink r:id="rId12" w:history="1">
        <w:r w:rsidRPr="00B225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имиджа бренда</w:t>
        </w:r>
      </w:hyperlink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4E5E33AA" w14:textId="77777777" w:rsidR="00B22512" w:rsidRPr="00B22512" w:rsidRDefault="00B22512" w:rsidP="00B225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повышение </w:t>
      </w:r>
      <w:hyperlink r:id="rId13" w:history="1">
        <w:r w:rsidRPr="00B225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узнаваемости</w:t>
        </w:r>
      </w:hyperlink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0EF0D787" w14:textId="77777777" w:rsidR="00B22512" w:rsidRPr="00B22512" w:rsidRDefault="00B22512" w:rsidP="00B225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привлечение новых</w:t>
      </w:r>
      <w:hyperlink r:id="rId14" w:history="1">
        <w:r w:rsidRPr="00B225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 xml:space="preserve"> потенциальных покупателей</w:t>
        </w:r>
      </w:hyperlink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;</w:t>
      </w:r>
    </w:p>
    <w:p w14:paraId="4889168E" w14:textId="77777777" w:rsidR="00B22512" w:rsidRPr="00B22512" w:rsidRDefault="00B22512" w:rsidP="00B225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повышение интереса к бренду и его продуктам.</w:t>
      </w:r>
    </w:p>
    <w:p w14:paraId="4E332E7C" w14:textId="77777777" w:rsidR="00B22512" w:rsidRPr="00B22512" w:rsidRDefault="00B22512" w:rsidP="00B22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Брандмауэр невозможно не заметить, поэтому он хорошо запоминается целевой аудиторией. В следующем разделе вы больше узнаете о плюсах и минусах использования этого вида наружной рекламы.</w:t>
      </w:r>
    </w:p>
    <w:p w14:paraId="1C8B3047" w14:textId="77777777" w:rsidR="00B22512" w:rsidRPr="00B22512" w:rsidRDefault="00B22512" w:rsidP="00B225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B22512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>Преимущества и недостатки брандмауэра</w:t>
      </w:r>
    </w:p>
    <w:p w14:paraId="22C7D67B" w14:textId="77777777" w:rsidR="00B22512" w:rsidRPr="00B22512" w:rsidRDefault="00B22512" w:rsidP="00B22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Помимо большого размера рекламной площади, брандмауэр имеет другие значимые преимущества:</w:t>
      </w:r>
    </w:p>
    <w:p w14:paraId="677BF97C" w14:textId="77777777" w:rsidR="00B22512" w:rsidRPr="00B22512" w:rsidRDefault="00B22512" w:rsidP="00B225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его можно размещать на 5-7 лет, поскольку он отличается долговечностью;</w:t>
      </w:r>
    </w:p>
    <w:p w14:paraId="1A1EEADB" w14:textId="77777777" w:rsidR="00B22512" w:rsidRPr="00B22512" w:rsidRDefault="00B22512" w:rsidP="00B225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он заметен на большом расстоянии, поэтому по сравнению с другими видами наружной рекламы предоставляет более длительный зрительный контакт с аудиторией;</w:t>
      </w:r>
    </w:p>
    <w:p w14:paraId="2F24A11C" w14:textId="77777777" w:rsidR="00B22512" w:rsidRPr="00B22512" w:rsidRDefault="00B22512" w:rsidP="00B225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помогает побороть информационный шум, так как привлекает больше внимания.</w:t>
      </w:r>
    </w:p>
    <w:p w14:paraId="2B4588F0" w14:textId="77777777" w:rsidR="00B22512" w:rsidRPr="00B22512" w:rsidRDefault="00B22512" w:rsidP="00B22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Если хорошо продумать дизайн и создать эмоциональную связь с аудиторией, то запоминаемость рекламы будет обеспечена. К тому же, оригинальная подача может запустить</w:t>
      </w:r>
      <w:hyperlink r:id="rId15" w:history="1">
        <w:r w:rsidRPr="00B225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 xml:space="preserve"> сарафанное радио</w:t>
        </w:r>
      </w:hyperlink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25A329E5" w14:textId="77777777" w:rsidR="00B22512" w:rsidRPr="00B22512" w:rsidRDefault="00B22512" w:rsidP="00B22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Из недостатков брандмауэра стоит отметить высокую стоимость. Поэтому, его зачастую используют представители крупных брендов. Также брандмауэр экономически не выгоден для краткосрочных рекламных кампаний.</w:t>
      </w:r>
    </w:p>
    <w:p w14:paraId="7F8AED56" w14:textId="77777777" w:rsidR="00B22512" w:rsidRPr="00B22512" w:rsidRDefault="00B22512" w:rsidP="00B22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Размер и формат брандмауэра зависят от площади стены, фантазии дизайнера и финансовых возможностей компании. Если правильно выбрать место размещения и тщательно продумать оформление, то наружная реклама будет в течение нескольких лет эффективно п</w:t>
      </w:r>
      <w:hyperlink r:id="rId16" w:history="1">
        <w:r w:rsidRPr="00B225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родвигать бренд</w:t>
        </w:r>
      </w:hyperlink>
      <w:r w:rsidRPr="00B22512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130113DE" w14:textId="0039C8C5" w:rsidR="008B47F9" w:rsidRDefault="00B22512" w:rsidP="008B47F9">
      <w:pPr>
        <w:rPr>
          <w:noProof/>
        </w:rPr>
      </w:pPr>
      <w:r w:rsidRPr="00B22512">
        <w:rPr>
          <w:noProof/>
        </w:rPr>
        <w:lastRenderedPageBreak/>
        <w:drawing>
          <wp:inline distT="0" distB="0" distL="0" distR="0" wp14:anchorId="16ACB3C4" wp14:editId="631490B2">
            <wp:extent cx="4371975" cy="3807382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5436" cy="381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512">
        <w:rPr>
          <w:noProof/>
        </w:rPr>
        <w:t xml:space="preserve"> </w:t>
      </w:r>
      <w:r w:rsidRPr="00B22512">
        <w:rPr>
          <w:noProof/>
        </w:rPr>
        <w:drawing>
          <wp:inline distT="0" distB="0" distL="0" distR="0" wp14:anchorId="47B3DBFB" wp14:editId="510F594B">
            <wp:extent cx="3191054" cy="421957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96603" cy="422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7E936" w14:textId="3AEC4616" w:rsidR="00B22512" w:rsidRDefault="00B22512" w:rsidP="008B47F9">
      <w:pPr>
        <w:rPr>
          <w:noProof/>
        </w:rPr>
      </w:pPr>
    </w:p>
    <w:p w14:paraId="154993E9" w14:textId="476CFDA5" w:rsidR="00B22512" w:rsidRDefault="00B22512" w:rsidP="008B47F9">
      <w:pPr>
        <w:rPr>
          <w:noProof/>
        </w:rPr>
      </w:pPr>
      <w:r w:rsidRPr="00B22512">
        <w:rPr>
          <w:rFonts w:ascii="Times New Roman" w:hAnsi="Times New Roman" w:cs="Times New Roman"/>
          <w:sz w:val="28"/>
          <w:szCs w:val="28"/>
        </w:rPr>
        <w:t>Table tent, или тейбл-тент (англ. «настольный шалаш») – это небольшая настольная подставка, используемая для рекламы или меню.</w:t>
      </w:r>
      <w:r w:rsidRPr="00B22512">
        <w:rPr>
          <w:noProof/>
        </w:rPr>
        <w:t xml:space="preserve"> </w:t>
      </w:r>
      <w:r w:rsidRPr="00B22512">
        <w:rPr>
          <w:noProof/>
        </w:rPr>
        <w:lastRenderedPageBreak/>
        <w:drawing>
          <wp:inline distT="0" distB="0" distL="0" distR="0" wp14:anchorId="65B61697" wp14:editId="387D4746">
            <wp:extent cx="5772150" cy="3554159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2186" t="3848" r="9728"/>
                    <a:stretch/>
                  </pic:blipFill>
                  <pic:spPr bwMode="auto">
                    <a:xfrm>
                      <a:off x="0" y="0"/>
                      <a:ext cx="5785922" cy="3562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2512">
        <w:rPr>
          <w:noProof/>
        </w:rPr>
        <w:t xml:space="preserve"> </w:t>
      </w:r>
      <w:r w:rsidRPr="00B22512">
        <w:rPr>
          <w:noProof/>
        </w:rPr>
        <w:drawing>
          <wp:inline distT="0" distB="0" distL="0" distR="0" wp14:anchorId="158BAB07" wp14:editId="11C23672">
            <wp:extent cx="5867400" cy="3596874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81284" cy="360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B74D7" w14:textId="66907903" w:rsidR="00B22512" w:rsidRDefault="00B22512" w:rsidP="008B47F9">
      <w:pPr>
        <w:rPr>
          <w:noProof/>
        </w:rPr>
      </w:pPr>
    </w:p>
    <w:p w14:paraId="4F7F65D2" w14:textId="4492EF72" w:rsidR="00B22512" w:rsidRDefault="00B22512" w:rsidP="008B47F9">
      <w:pPr>
        <w:rPr>
          <w:rFonts w:ascii="Times New Roman" w:hAnsi="Times New Roman" w:cs="Times New Roman"/>
          <w:sz w:val="28"/>
          <w:szCs w:val="28"/>
        </w:rPr>
      </w:pPr>
      <w:r w:rsidRPr="00B22512">
        <w:rPr>
          <w:rFonts w:ascii="Times New Roman" w:hAnsi="Times New Roman" w:cs="Times New Roman"/>
          <w:b/>
          <w:bCs/>
          <w:sz w:val="28"/>
          <w:szCs w:val="28"/>
        </w:rPr>
        <w:t>Указатели</w:t>
      </w:r>
      <w:r w:rsidRPr="00B22512">
        <w:rPr>
          <w:rFonts w:ascii="Times New Roman" w:hAnsi="Times New Roman" w:cs="Times New Roman"/>
          <w:sz w:val="28"/>
          <w:szCs w:val="28"/>
        </w:rPr>
        <w:t xml:space="preserve"> представляют собой объекты, значением которых служат адреса других объектов (переменных, констант, указателей) или функций. Как и ссылки, указатели применяются для косвенного доступа к объекту. Однако в отличие от ссылок указатели обладают большими возможностями.</w:t>
      </w:r>
    </w:p>
    <w:p w14:paraId="1D7769CB" w14:textId="53153BDA" w:rsidR="00B22512" w:rsidRDefault="00B22512" w:rsidP="008B47F9">
      <w:pPr>
        <w:rPr>
          <w:noProof/>
        </w:rPr>
      </w:pPr>
      <w:r w:rsidRPr="00B22512">
        <w:rPr>
          <w:noProof/>
        </w:rPr>
        <w:lastRenderedPageBreak/>
        <w:drawing>
          <wp:inline distT="0" distB="0" distL="0" distR="0" wp14:anchorId="537C28D2" wp14:editId="3DA7AAD4">
            <wp:extent cx="3598731" cy="269557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9749" cy="270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512">
        <w:rPr>
          <w:noProof/>
        </w:rPr>
        <w:t xml:space="preserve"> </w:t>
      </w:r>
      <w:r w:rsidRPr="00B22512">
        <w:rPr>
          <w:noProof/>
        </w:rPr>
        <w:drawing>
          <wp:inline distT="0" distB="0" distL="0" distR="0" wp14:anchorId="70A5F874" wp14:editId="2A396750">
            <wp:extent cx="2143125" cy="2143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8CFBD" w14:textId="1158C556" w:rsidR="00B22512" w:rsidRDefault="00B22512" w:rsidP="008B47F9">
      <w:pPr>
        <w:rPr>
          <w:noProof/>
        </w:rPr>
      </w:pPr>
      <w:r w:rsidRPr="00B22512">
        <w:rPr>
          <w:noProof/>
        </w:rPr>
        <w:drawing>
          <wp:inline distT="0" distB="0" distL="0" distR="0" wp14:anchorId="20B078A9" wp14:editId="739F5729">
            <wp:extent cx="3733800" cy="248467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5912" cy="249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512">
        <w:rPr>
          <w:noProof/>
        </w:rPr>
        <w:t xml:space="preserve"> </w:t>
      </w:r>
      <w:r w:rsidRPr="00B22512">
        <w:rPr>
          <w:noProof/>
        </w:rPr>
        <w:drawing>
          <wp:inline distT="0" distB="0" distL="0" distR="0" wp14:anchorId="72986891" wp14:editId="5BF070BE">
            <wp:extent cx="2143125" cy="2143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7332F" w14:textId="64935BBA" w:rsidR="006D373F" w:rsidRDefault="006D373F" w:rsidP="008B47F9">
      <w:pPr>
        <w:rPr>
          <w:noProof/>
        </w:rPr>
      </w:pPr>
    </w:p>
    <w:p w14:paraId="0432DD9E" w14:textId="0F5D2016" w:rsidR="006D373F" w:rsidRDefault="006D373F" w:rsidP="008B47F9">
      <w:pPr>
        <w:rPr>
          <w:rFonts w:ascii="Times New Roman" w:hAnsi="Times New Roman" w:cs="Times New Roman"/>
          <w:sz w:val="28"/>
          <w:szCs w:val="28"/>
        </w:rPr>
      </w:pPr>
      <w:r w:rsidRPr="006D373F">
        <w:rPr>
          <w:rFonts w:ascii="Times New Roman" w:hAnsi="Times New Roman" w:cs="Times New Roman"/>
          <w:b/>
          <w:bCs/>
          <w:sz w:val="28"/>
          <w:szCs w:val="28"/>
        </w:rPr>
        <w:t>Вывеска</w:t>
      </w:r>
      <w:r w:rsidRPr="006D373F">
        <w:rPr>
          <w:rFonts w:ascii="Times New Roman" w:hAnsi="Times New Roman" w:cs="Times New Roman"/>
          <w:sz w:val="28"/>
          <w:szCs w:val="28"/>
        </w:rPr>
        <w:t xml:space="preserve"> — доска, щит, различного вида, с </w:t>
      </w:r>
      <w:hyperlink r:id="rId25" w:tooltip="Надпись (страница отсутствует)" w:history="1">
        <w:r w:rsidRPr="006D373F">
          <w:rPr>
            <w:rStyle w:val="a3"/>
            <w:rFonts w:ascii="Times New Roman" w:hAnsi="Times New Roman" w:cs="Times New Roman"/>
            <w:sz w:val="28"/>
            <w:szCs w:val="28"/>
          </w:rPr>
          <w:t>надписью</w:t>
        </w:r>
      </w:hyperlink>
      <w:r w:rsidRPr="006D373F">
        <w:rPr>
          <w:rFonts w:ascii="Times New Roman" w:hAnsi="Times New Roman" w:cs="Times New Roman"/>
          <w:sz w:val="28"/>
          <w:szCs w:val="28"/>
        </w:rPr>
        <w:t xml:space="preserve">, с изображением предметов </w:t>
      </w:r>
      <w:hyperlink r:id="rId26" w:tooltip="Продажа" w:history="1">
        <w:r w:rsidRPr="006D373F">
          <w:rPr>
            <w:rStyle w:val="a3"/>
            <w:rFonts w:ascii="Times New Roman" w:hAnsi="Times New Roman" w:cs="Times New Roman"/>
            <w:sz w:val="28"/>
            <w:szCs w:val="28"/>
          </w:rPr>
          <w:t>продажи</w:t>
        </w:r>
      </w:hyperlink>
      <w:r w:rsidRPr="006D373F">
        <w:rPr>
          <w:rFonts w:ascii="Times New Roman" w:hAnsi="Times New Roman" w:cs="Times New Roman"/>
          <w:sz w:val="28"/>
          <w:szCs w:val="28"/>
        </w:rPr>
        <w:t xml:space="preserve"> или выделки, у </w:t>
      </w:r>
      <w:hyperlink r:id="rId27" w:tooltip="Мастер" w:history="1">
        <w:r w:rsidRPr="006D373F">
          <w:rPr>
            <w:rStyle w:val="a3"/>
            <w:rFonts w:ascii="Times New Roman" w:hAnsi="Times New Roman" w:cs="Times New Roman"/>
            <w:sz w:val="28"/>
            <w:szCs w:val="28"/>
          </w:rPr>
          <w:t>мастеров</w:t>
        </w:r>
      </w:hyperlink>
      <w:r w:rsidRPr="006D373F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tooltip="Ремесленник" w:history="1">
        <w:r w:rsidRPr="006D373F">
          <w:rPr>
            <w:rStyle w:val="a3"/>
            <w:rFonts w:ascii="Times New Roman" w:hAnsi="Times New Roman" w:cs="Times New Roman"/>
            <w:sz w:val="28"/>
            <w:szCs w:val="28"/>
          </w:rPr>
          <w:t>ремесленников</w:t>
        </w:r>
      </w:hyperlink>
      <w:r w:rsidRPr="006D373F">
        <w:rPr>
          <w:rFonts w:ascii="Times New Roman" w:hAnsi="Times New Roman" w:cs="Times New Roman"/>
          <w:sz w:val="28"/>
          <w:szCs w:val="28"/>
        </w:rPr>
        <w:t xml:space="preserve">, на </w:t>
      </w:r>
      <w:hyperlink r:id="rId29" w:tooltip="Лавка (торговля)" w:history="1">
        <w:r w:rsidRPr="006D373F">
          <w:rPr>
            <w:rStyle w:val="a3"/>
            <w:rFonts w:ascii="Times New Roman" w:hAnsi="Times New Roman" w:cs="Times New Roman"/>
            <w:sz w:val="28"/>
            <w:szCs w:val="28"/>
          </w:rPr>
          <w:t>лавках</w:t>
        </w:r>
      </w:hyperlink>
      <w:hyperlink r:id="rId30" w:anchor="cite_note-1" w:history="1">
        <w:r w:rsidRPr="006D373F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[1]</w:t>
        </w:r>
      </w:hyperlink>
      <w:r w:rsidRPr="006D373F">
        <w:rPr>
          <w:rFonts w:ascii="Times New Roman" w:hAnsi="Times New Roman" w:cs="Times New Roman"/>
          <w:sz w:val="28"/>
          <w:szCs w:val="28"/>
        </w:rPr>
        <w:t xml:space="preserve">, сейчас конструкция в объемном или плоском исполнении, расположенная, где-либо, как правило, на </w:t>
      </w:r>
      <w:hyperlink r:id="rId31" w:tooltip="Фасад" w:history="1">
        <w:r w:rsidRPr="006D373F">
          <w:rPr>
            <w:rStyle w:val="a3"/>
            <w:rFonts w:ascii="Times New Roman" w:hAnsi="Times New Roman" w:cs="Times New Roman"/>
            <w:sz w:val="28"/>
            <w:szCs w:val="28"/>
          </w:rPr>
          <w:t>фасаде</w:t>
        </w:r>
      </w:hyperlink>
      <w:r w:rsidRPr="006D373F">
        <w:rPr>
          <w:rFonts w:ascii="Times New Roman" w:hAnsi="Times New Roman" w:cs="Times New Roman"/>
          <w:sz w:val="28"/>
          <w:szCs w:val="28"/>
        </w:rPr>
        <w:t xml:space="preserve"> здания, рядом со входом, которая информирует (рекламирует) о чём-либо, об организации или предприятии, находящемся внутри здания.</w:t>
      </w:r>
    </w:p>
    <w:p w14:paraId="02A49E7F" w14:textId="5143D603" w:rsidR="006D373F" w:rsidRDefault="006D373F" w:rsidP="008B47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373F">
        <w:rPr>
          <w:noProof/>
        </w:rPr>
        <w:lastRenderedPageBreak/>
        <w:drawing>
          <wp:inline distT="0" distB="0" distL="0" distR="0" wp14:anchorId="30EFDCB8" wp14:editId="7CF35DD9">
            <wp:extent cx="2143125" cy="21431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373F">
        <w:rPr>
          <w:noProof/>
        </w:rPr>
        <w:drawing>
          <wp:inline distT="0" distB="0" distL="0" distR="0" wp14:anchorId="5B081CF2" wp14:editId="69648B60">
            <wp:extent cx="3019425" cy="215673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25881" cy="216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1FC3" w14:textId="7D193FC1" w:rsidR="006D373F" w:rsidRDefault="006D373F" w:rsidP="008B47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373F">
        <w:rPr>
          <w:noProof/>
        </w:rPr>
        <w:drawing>
          <wp:inline distT="0" distB="0" distL="0" distR="0" wp14:anchorId="443D51FB" wp14:editId="475A963F">
            <wp:extent cx="4219575" cy="28079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31100" cy="281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C0DB" w14:textId="2A3C6918" w:rsidR="006D373F" w:rsidRDefault="006D373F" w:rsidP="008B47F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987CA8" w14:textId="32C62F51" w:rsidR="006D373F" w:rsidRPr="00384705" w:rsidRDefault="006D373F" w:rsidP="008B47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37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Световой короб</w:t>
      </w:r>
      <w:r w:rsidRPr="006D373F">
        <w:rPr>
          <w:rFonts w:ascii="Times New Roman" w:hAnsi="Times New Roman" w:cs="Times New Roman"/>
          <w:sz w:val="28"/>
          <w:szCs w:val="28"/>
          <w:lang w:val="ru-RU"/>
        </w:rPr>
        <w:t xml:space="preserve"> (лайтбокс, англ. lightboxes) — светильник, который представляет собой объемную рекламную или информационную конструкцию с лицевой поверхностью из транслюцентного (полупрозрачного) материала, с боковинами и тыльной (задней) поверхностью из металла или пластика ПВХ (поливинилхлорида). Внутри светового короба установлен источник света, который освещает лицевую поверхность. Световые короба широко применяются как в наружной рекламе, так и в интерьерной. Этот вид вывески прекрасно заметен как днём, так и ночью, благодаря внутренней подсветке.</w:t>
      </w:r>
    </w:p>
    <w:p w14:paraId="3530D53B" w14:textId="2D711A97" w:rsidR="008B47F9" w:rsidRDefault="008B47F9" w:rsidP="008B47F9">
      <w:pPr>
        <w:rPr>
          <w:rFonts w:ascii="Times New Roman" w:hAnsi="Times New Roman" w:cs="Times New Roman"/>
          <w:sz w:val="28"/>
          <w:szCs w:val="28"/>
        </w:rPr>
      </w:pPr>
    </w:p>
    <w:p w14:paraId="6715EABF" w14:textId="27F5D7A5" w:rsidR="008B47F9" w:rsidRDefault="006D373F" w:rsidP="008B47F9">
      <w:pPr>
        <w:rPr>
          <w:rFonts w:ascii="Times New Roman" w:hAnsi="Times New Roman" w:cs="Times New Roman"/>
          <w:sz w:val="28"/>
          <w:szCs w:val="28"/>
        </w:rPr>
      </w:pPr>
      <w:r w:rsidRPr="006D373F">
        <w:rPr>
          <w:noProof/>
        </w:rPr>
        <w:lastRenderedPageBreak/>
        <w:drawing>
          <wp:inline distT="0" distB="0" distL="0" distR="0" wp14:anchorId="7EC27AE7" wp14:editId="276BF501">
            <wp:extent cx="4733925" cy="3350981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49180" cy="336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373F">
        <w:t xml:space="preserve"> </w:t>
      </w:r>
    </w:p>
    <w:p w14:paraId="5BDF7928" w14:textId="77777777" w:rsidR="006D373F" w:rsidRDefault="006D373F" w:rsidP="008B47F9">
      <w:pPr>
        <w:rPr>
          <w:rFonts w:ascii="Times New Roman" w:hAnsi="Times New Roman" w:cs="Times New Roman"/>
          <w:sz w:val="28"/>
          <w:szCs w:val="28"/>
        </w:rPr>
      </w:pPr>
    </w:p>
    <w:p w14:paraId="47047EC5" w14:textId="77777777" w:rsidR="006D373F" w:rsidRDefault="006D373F" w:rsidP="008B47F9">
      <w:pPr>
        <w:rPr>
          <w:noProof/>
        </w:rPr>
      </w:pPr>
      <w:r w:rsidRPr="006D373F">
        <w:rPr>
          <w:noProof/>
        </w:rPr>
        <w:drawing>
          <wp:inline distT="0" distB="0" distL="0" distR="0" wp14:anchorId="5AE8DF53" wp14:editId="32CC5AB4">
            <wp:extent cx="4772025" cy="34956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373F">
        <w:rPr>
          <w:noProof/>
        </w:rPr>
        <w:t xml:space="preserve"> </w:t>
      </w:r>
    </w:p>
    <w:p w14:paraId="63FEE0CD" w14:textId="3311A570" w:rsidR="006D373F" w:rsidRPr="008B47F9" w:rsidRDefault="006D373F" w:rsidP="008B47F9">
      <w:pPr>
        <w:rPr>
          <w:rFonts w:ascii="Times New Roman" w:hAnsi="Times New Roman" w:cs="Times New Roman"/>
          <w:sz w:val="28"/>
          <w:szCs w:val="28"/>
        </w:rPr>
      </w:pPr>
      <w:r w:rsidRPr="006D373F">
        <w:rPr>
          <w:noProof/>
        </w:rPr>
        <w:lastRenderedPageBreak/>
        <w:drawing>
          <wp:inline distT="0" distB="0" distL="0" distR="0" wp14:anchorId="209055C6" wp14:editId="194CD199">
            <wp:extent cx="4314825" cy="3231954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24232" cy="3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73F" w:rsidRPr="008B4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C2F4B"/>
    <w:multiLevelType w:val="multilevel"/>
    <w:tmpl w:val="0552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8F6F02"/>
    <w:multiLevelType w:val="multilevel"/>
    <w:tmpl w:val="FE4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69"/>
    <w:rsid w:val="00384705"/>
    <w:rsid w:val="00502F89"/>
    <w:rsid w:val="005640C8"/>
    <w:rsid w:val="00666769"/>
    <w:rsid w:val="006D373F"/>
    <w:rsid w:val="008B47F9"/>
    <w:rsid w:val="00952DF3"/>
    <w:rsid w:val="00AA7F0D"/>
    <w:rsid w:val="00B22512"/>
    <w:rsid w:val="00C41B9E"/>
    <w:rsid w:val="00D3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6FFD"/>
  <w15:chartTrackingRefBased/>
  <w15:docId w15:val="{1574CDF9-F311-4192-A4C2-FC4BE7DA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51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D3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ndpulse.kz/support/glossary/brand-awareness" TargetMode="External"/><Relationship Id="rId18" Type="http://schemas.openxmlformats.org/officeDocument/2006/relationships/image" Target="media/image7.png"/><Relationship Id="rId26" Type="http://schemas.openxmlformats.org/officeDocument/2006/relationships/hyperlink" Target="https://ru.wikipedia.org/wiki/%D0%9F%D1%80%D0%BE%D0%B4%D0%B0%D0%B6%D0%B0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hyperlink" Target="https://sendpulse.kz/support/glossary/brand-image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ru.wikipedia.org/w/index.php?title=%D0%9D%D0%B0%D0%B4%D0%BF%D0%B8%D1%81%D1%8C&amp;action=edit&amp;redlink=1" TargetMode="External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endpulse.kz/support/glossary/promotion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ru.wikipedia.org/wiki/%D0%9B%D0%B0%D0%B2%D0%BA%D0%B0_(%D1%82%D0%BE%D1%80%D0%B3%D0%BE%D0%B2%D0%BB%D1%8F)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endpulse.kz/support/glossary/target-audience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hyperlink" Target="https://sendpulse.kz/support/glossary/word-of-mouth-marketing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ru.wikipedia.org/wiki/%D0%A0%D0%B5%D0%BC%D0%B5%D1%81%D0%BB%D0%B5%D0%BD%D0%BD%D0%B8%D0%BA" TargetMode="External"/><Relationship Id="rId36" Type="http://schemas.openxmlformats.org/officeDocument/2006/relationships/image" Target="media/image18.png"/><Relationship Id="rId10" Type="http://schemas.openxmlformats.org/officeDocument/2006/relationships/hyperlink" Target="https://sendpulse.kz/support/glossary/outdoor-advertising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ru.wikipedia.org/wiki/%D0%A4%D0%B0%D1%81%D0%B0%D0%B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sendpulse.kz/support/glossary/prospective-customer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ru.wikipedia.org/wiki/%D0%9C%D0%B0%D1%81%D1%82%D0%B5%D1%80" TargetMode="External"/><Relationship Id="rId30" Type="http://schemas.openxmlformats.org/officeDocument/2006/relationships/hyperlink" Target="https://ru.wikipedia.org/wiki/%D0%92%D1%8B%D0%B2%D0%B5%D1%81%D0%BA%D0%B0" TargetMode="External"/><Relationship Id="rId35" Type="http://schemas.openxmlformats.org/officeDocument/2006/relationships/image" Target="media/image17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2024-02-29T02:30:00Z</dcterms:created>
  <dcterms:modified xsi:type="dcterms:W3CDTF">2024-03-07T05:33:00Z</dcterms:modified>
</cp:coreProperties>
</file>